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25 100 vom 16. Dezember 2025</w:t>
      </w:r>
    </w:p>
    <w:p>
      <w:r>
        <w:t>VS Kantonsgericht, 2025-12-16, DE</w:t>
      </w:r>
    </w:p>
    <w:p>
      <w:r>
        <w:rPr>
          <w:b/>
        </w:rPr>
        <w:t xml:space="preserve">Quelle: </w:t>
      </w:r>
      <w:r>
        <w:t>https://mcp.opencaselaw.ch/entscheid/vs_gerichte_S2 25 100</w:t>
      </w:r>
    </w:p>
    <w:p>
      <w:r>
        <w:t>FR: VS_GERICHTE S2 25 100 du 16 décembre 2025</w:t>
      </w:r>
    </w:p>
    <w:p>
      <w:r>
        <w:t>IT: VS_GERICHTE S2 25 100 del 16 dicembre 2025</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ATSG i.V.m. Art. 1 Abs. 2 RVG und Art. 81a VVRG, Art. 7 Abs. 2 RPflG). Der Beschwerdeführer ist durch den</w:t>
      </w:r>
    </w:p>
    <w:p>
      <w:r>
        <w:t>- 4 - angefochtenen Entscheid berührt und hat ein schutzwürdiges Interesse an dessen Auf- hebung (Art. 59 ATSG), weshalb auf die form- und fristgerecht eingereichte Beschwerde einzutreten ist (Art. 60 und Art. 61 lit. b ATSG).</w:t>
      </w:r>
    </w:p>
    <w:p>
      <w:r>
        <w:rPr>
          <w:b/>
        </w:rPr>
        <w:t>E. 2</w:t>
      </w:r>
    </w:p>
    <w:p>
      <w:r>
        <w:t>Streitig und zu prüfen ist die Abweisung des Rentenanspruchs sowie die Höhe des Integritätsschadens.</w:t>
      </w:r>
    </w:p>
    <w:p>
      <w:r>
        <w:rPr>
          <w:b/>
        </w:rPr>
        <w:t>E. 3.1</w:t>
      </w:r>
    </w:p>
    <w:p>
      <w:r>
        <w:t>Die Suva stützte sich für die Beurteilung der Arbeits- und Resterwerbsfähigkeit so- wie des Integritätsschadens auf die vertrauensärztlichen Berichte. Der Beschwerdefüh- rer bemängelt, der medizinische Sachverhalt sei nicht genügend abgeklärt worden.</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 als Bericht oder Gutachten (BGE 134 V 231 E. 5.1, 125 V 351 E. 3a mit Hinweis). Soll ein Versicherungsfall ohne Einholung eines externen Gutachtens entschieden werden, so sind an die Beweiswürdigung strenge Anforderun- gen zu stellen. Bestehen auch nur geringe Zweifel an der Zuverlässigkeit und Schlüssig- keit der versicherungsinternen ärztlichen Feststellungen, so sind ergänzend Abklärun- gen vorzunehmen (BGE 145 V 97 E. 8.5, 142 V 58 E. 5.1). Kreisärzte sind nach ihrer Funktion und beruflichen Stellung Fachärzte im Bereich der Unfallmedizin. Da sie ausschliesslich Unfallpatienten, Körperschädigungen im Sinne des Art. 6 Abs. 2 UVG und Berufskrankheiten diagnostisch beurteilen und therapeutisch be- gleiten, verfügen sie über besonders ausgeprägte traumatologische Kenntnisse und Er- fahrungen. Dies gilt unabhängig von ihrem ursprünglich erworbenen Facharzttitel (Bun- desgerichtsurteil 8C_102/2025 vom 3. Juli 2025 E. 6.2.1 mit Hinweis).</w:t>
      </w:r>
    </w:p>
    <w:p>
      <w:r>
        <w:rPr>
          <w:b/>
        </w:rPr>
        <w:t>E. 3.3</w:t>
      </w:r>
    </w:p>
    <w:p>
      <w:r>
        <w:t>Aktenkundig ist, dass der Versicherte am 4. August 2022 eine Fraktur des 12. Brust- wirbels erlitt (act. 6), welche primär konservativ und im September 2022 im Rahmen einer Kyphoplasie behandelt wurde (act. 27). Gemäss übereinstimmenden fach- und kreisärztlichen Beurteilungen ist dem Versicherten die angestammte Tätigkeit als Bau- hilfsarbeiter nicht mehr zuzumuten.</w:t>
      </w:r>
    </w:p>
    <w:p>
      <w:r>
        <w:t>- 5 - Am 20. Dezember 2022 hielt der Radiologe fest, es seien ein um 3 mm disloziertes Kno- chenfragment der oberen linken Wirbelkante mit konsekutiver Verengung des Spinalka- nals und ein gut adaptiertes Knochenfragment darunter nachgewiesen (act. 47). Die da- raufhin am 7. Februar 2023 erstellte Magnetresonanztomografie (fortan: MRT) zeigte eine leichte Vorwölbung des Kyphoplastie-Materials in den Spinalkanal, eine vorbeste- hende mediane subligamentäre Diskusprotrusion L4/L5 und einen grössenprogredien- ten Diskusprolaps L5/S1 mit Kompression der Nervenwurzel S1 rezessal links (act. 57). Der behandelnde Orthopäde Dr. A _________ schlussfolgerte am 7. Februar 2023, der Versicherte könne unter Einhaltung der Belastungslimite von 15-20 kg alles machen. Es könne jedoch sein, dass auch in Zukunft einmal ein Facettengelenk blockiere (act. 66). Seiner Ansicht nach hatte das in der Computertomografie vom 20. Dezember 2022 be- schriebene Knochenfragment keine klinische Relevanz (act. 67). Gestützt darauf er- stellte der Kreisarzt am 22. Mai 2023 folgendes Belastbarkeitsprofil: «Ganztägige Tätig- keiten; keine Tätigkeiten verbunden mit einem Tragen oder Heben von Gewichten dau- erhaft &lt;15 kg, keine Tätigkeiten verbunden mit Zwangshaltung (beispielsweise Kauern oder Bücken) für den Rücken oder Tätigkeiten, die mit einer erheblichen Sprungbelas- tung einhergehen. Kein Begehen von Gerüsten, Leitern oder gar Dächern oder steilem oder unebenem Gelände, welches einen erhöhten Gleichgewichtssinn erfordert» (act. 72). Dr. B _________ war am 4. Juli 2023 der Ansicht, dass aufgrund des Unfalls und der ISG-Blockierung mittelfristig keinerlei Einschränkungen bestehen sollten (act. 83). Aus Sicht der Orthopäden des Inselspitals waren die geschilderten Beschwerden am ehesten im Rahmen eines Rehabilitationsdefizites zuzuordnen (act. 103). In der MRT vom 5. Oktober 2023 zeigten sich eine Bandscheibenfachdegeneration mit Extrusion der Bandscheibe in den Wirbelkörper BWK 12 sowie ein HIZ-Phänomen in den Bandschei- ben L4/5 und L5/S1 (act. 105). Vom 28. November 2023 bis zum 1. Februar 2024 weilte der Versicherte in der Rehakli- nik C _________. Anlässlich der klinischen Untersuchung zeigte sich insgesamt eine gute Beweglichkeit der Wirbelsäule. Es lagen keine neurologischen Auffälligkeiten an den unteren Extremitäten vor. Auf Verhaltensebene wurde eine mässige Symptomaus- weitung beobachtet. Bei den Hebe- und Tragetests limitierte sich der Versicherte laut den Beobachtern unter Angabe von Schmerzen selbst, bevor die beobachtbare funktio- nelle Leistungsgrenze erreicht wurde. Der Versicherte habe auch beim Schmerzverhal- ten übervorsichtige Bewegungen und eine starre/abnorme Haltung gezeigt. Beim Leis- tungsverhalten habe er sich auch in nicht betroffenen Bereichen (Handkraft) teilweise nicht bis an eine beobachtbare funktionelle Leistungsgrenze belastet. Bei der Konsistenz hätten sich Diskrepanzen zwischen dem Ausmass der Rotationsbewegung der</w:t>
      </w:r>
    </w:p>
    <w:p>
      <w:r>
        <w:t>- 6 - Wirbelsäule während der Tests und während der klinischen Untersuchung gezeigt. Ge- mäss den Berichterstattern stützte sich daher ihre Beurteilung der Zumutbarkeit auch auf medizinisch-theoretische Überlegungen. Sie hielten abschliessend eine leichte, an- gepasste Tätigkeit ganztags für zumutbar, wobei länger dauernde Zwangshaltungen, Vibrationsbelastungen und Schläge vermieden werden sollten (act. 153). Gemäss dem Radiologen waren am 3. Mai 2024 die Frakturlinien vollständig konsolidiert (act. 172). Am 13. Mai 2024 notierten die Orthopäden der Inselgruppe, dass aufgrund der vorherrschenden ISG-Schmerzen eine Infiltration erfolge (act. 169). Am 12. Au- gust 2024 schlossen sie aufgrund der Aufnahme vom 3. Mai 2024 eine mögliche Non- Union der Fraktur nicht aus, weshalb sie eine SPECT-Abklärung anordneten (act. 198). In dieser Aufnahme vom 9. September 2024 zeigte sich gemäss der Ärzteschaft keine eindeutige Mehranreicherung im ossären Defekt, in welchem eine knöcherne Heilung mutmasslich durch interponiertes Bandscheibenmaterial verhindert würde. Bei einer künftigen Entstehung einer solchen könne unter Umständen eine Korpektomie mit dor- saler Instrumentierung diskutiert werden. Zusammenfassend sei kein klarer Nachweis einer Non-Union der Fraktur gegeben (act. 197 und 203). Der um eine Aktenbeurteilung ersuchte Kreisarzt folgerte am 27. Januar 2025, die bild- gebenden Untersuchungen würden eine Konsolidierung der Fraktur zeigen (act. 206). Es lägen aber mehrstufige degenerative Veränderungen im Lendenwirbel- und Kreuz- beinbereich sowie an beiden Hüften vor. Diese Veränderungen würden nicht im Zusam- menhang mit dem ursprünglichen Ereignis stehen, das nur den 12. Wirbel ohne weitere strukturelle Läsionen betroffen habe. Die vom Patienten beschriebenen Symptome, nämlich Schmerzen im unteren Lendenwirbelbereich, Schmerzen im Iliosakralgelenk und zeitweise auch Ischias-ähnliche Schmerzen, könnten nicht durch das Ereignis vom</w:t>
      </w:r>
    </w:p>
    <w:p>
      <w:r>
        <w:rPr>
          <w:b/>
        </w:rPr>
        <w:t>E. 3.4</w:t>
      </w:r>
    </w:p>
    <w:p>
      <w:r>
        <w:t>Die Beschwerdegegnerin ging gestützt auf diese Aktenlage davon aus, dem Versi- cherten sei zuzumuten, eine angepasste leichte Tätigkeit zu 100% auszuüben und die Restarbeitsfähigkeit in diesem Rahmen entsprechend zu verwerten. Diese vorinstanzli- che Beweiswürdigung ist entgegen der Auffassung des Beschwerdeführers nicht zu be- anstanden. Wie oben ausgeführt, ist dem im Rahmen des Verwaltungsverfahrens ein- geholten Bericht des Kreisarztes, der nach Einsicht in sämtliche Akten erfolgte und der bei der Erörterung der Befunde zu schlüssigen Ergebnissen gelangte, bei der Beweis- würdigung Beweiskraft zuzuerkennen, solange nicht konkrete Indizien gegen die Zuver- lässigkeit sprechen. Solche Indizien bestehen vorliegend nicht. Mit der Beschwerdegeg- nerin ist festzuhalten, dass die Berichte des Kreisarztes weder formale noch inhaltliche Mängel aufweisen und dass sie für die hier streitigen Belange umfassend sind, die ge- klagten Beschwerden berücksichtigen, in Kenntnis der Vorakten abgegeben worden sind, in der Darlegung der medizinischen Zusammenhänge bzw. der Beurteilung der ak- tuellen medizinischen Situation einleuchten, sich mit den vorhandenen ärztlichen Ein- schätzungen auseinandersetzen und in den Schlussfolgerungen überzeugend sind. Ebenso nimmt dessen Schlussbericht vom 27. Januar 2025 eine schlüssige Beurteilung der aktuellen Arbeits- und Resterwerbsfähigkeit vor. Insgesamt entsprechen seine Be- richte den Anforderungen des Bundesgerichts an den Beweiswert von medizinischen Berichten, weshalb die Beschwerdegegnerin ihren Entscheid zu Recht darauf abgestellt hat.</w:t>
      </w:r>
    </w:p>
    <w:p>
      <w:r>
        <w:t>- 8 - Daran ändern die Einwände in der Beschwerde nichts. Soweit sinngemäss geltend ge- macht wird, die Vorinstanz habe den Sachverhalt offensichtlich unrichtig festgestellt und den Untersuchungsgrundsatz verletzt, indem sie von einer reinen Verdachtsdiagnose einer Non-Union der Fraktur ohne Relevanz ausgehe, kann dem nicht gefolgt werden. Konkret bringt der Beschwerdeführer vor, er sei diesbezüglich noch immer in Abklärung bei den Ärzten der Inselgruppe. Dabei scheint er zu verkennen, dass die Ärzteschaft der Inselgruppe mit Bericht vom 12. August 2024 lediglich eine mögliche Non-Union der Fraktur in Betracht zog (act. 198) und die daraufhin durchgeführte SPECT-Aufnahme keinen klaren Nachweis ergab (act. 197). Die Beurteilung der Restarbeitsfähigkeit in der Unfallversicherung ist ferner nicht an die Bestätigung einer konkreten Diagnose gebun- den, sondern an die klinischen Befunde. So oder anders ist entgegen der Ansicht des Beschwerdeführers nicht die Diagnose massgebend, sondern unter welchen Beschwer- den die versicherte Person leidet, ob diese objektiviert werden können und welche Tä- tigkeiten der versicherten Person trotz ihrer gesundheitlichen Einschränkungen noch zu- mutbar sind (BGE 145 V 245 E. 5.5.2 mit Hinweis). Der beratende Kreisarzt darf daher auch nicht von der Schwere der Diagnose auf den Grad der Arbeitsunfähigkeit schlies- sen, sondern er hat darzulegen, inwieweit wegen der von ihm erhobenen Befunde die Arbeitsfähigkeit eingeschränkt ist oder nicht (vgl. dazu BGE 148 V 49). Die ständige Weiterentwicklung der Diagnosen bestätigt sodann, dass die diagnostische Einordnung einer Störung allein das dennoch objektiv bestehende tatsächliche Leistungsvermögen nicht festlegt. Dass die Beschwerdegegnerin und der beratende Kreisarzt unter diesen Umständen darauf verzichteten, weitere Abklärungen abzuwarten, ist daher nicht zu be- anstanden und tangiert den Beweiswert des kreisärztlichen Schlussberichtes nicht. Wenn der Beschwerdeführer weiter vorbringt, seine Hausärztin sowie andere Fachärzte hätten stets eine 100%ige Arbeitsunfähigkeit in der angestammten Tätigkeit bescheinigt, trifft dies zwar zu, vermag aber an der hier massgebenden Festlegung der Restarbeits- fähigkeit in einer angepassten, leichten Tätigkeit nichts zu ändern. Dazu äusserte sich – entgegen den Darlegungen des Beschwerdeführers – die Hausärztin nie abschliessend. In Bezug auf das durch die Reha-Ärzteschaft erstellte Belastungsprofil moniert der Be- schwerdeführer, die Schmerzen seien objektivierbar. Dabei verkennt er, dass die über mehrere Wochen erfolgte Abklärung Divergenzen ergab, welche im Rahmen einer Sprechstunde nicht zu Tage treten können. Grundsätzlich erkannten auch die Ärzte der Inselgruppe objektivierbare Beschwerden, weshalb sie dem Versicherten die ange- stammte Tätigkeit nicht mehr zutrauten.</w:t>
      </w:r>
    </w:p>
    <w:p>
      <w:r>
        <w:t>- 9 - Im Übrigen ist der medizinischen Aktenlage zu entnehmen, dass im massgebenden Zeit- punkt des Einspracheentscheides die Ärzte keine Indikation für einen weiteren operati- ven Eingriff gestellt hatten. Allfällige danach eingetretene Veränderungen wären damit im Rahmen eines Rückfalls zu prüfen.</w:t>
      </w:r>
    </w:p>
    <w:p>
      <w:r>
        <w:rPr>
          <w:b/>
        </w:rPr>
        <w:t>E. 3.5</w:t>
      </w:r>
    </w:p>
    <w:p>
      <w:r>
        <w:t>Nach dem Dargelegten steht für das urteilende Gericht fest, dass der Versicherte seine angestammte Tätigkeit als Bauhilfsarbeiter nicht mehr ausüben kann. Demgegen- über erstellten sämtliche Ärzte ein identisches Zumutbarkeitsprofil, bei dem der Versi- cherte in einer angepassten, leichten Arbeit voll erwerbsfähig ist. Daran ist festzuhalten.</w:t>
      </w:r>
    </w:p>
    <w:p>
      <w:r>
        <w:rPr>
          <w:b/>
        </w:rPr>
        <w:t>E. 4</w:t>
      </w:r>
    </w:p>
    <w:p>
      <w:r>
        <w:t>In einem weiteren Punkt ist zu prüfen, ob die Rentenberechnung rechtens ist.</w:t>
      </w:r>
    </w:p>
    <w:p>
      <w:r>
        <w:rPr>
          <w:b/>
        </w:rPr>
        <w:t>E. 4.1</w:t>
      </w:r>
    </w:p>
    <w:p>
      <w:r>
        <w:t>Im angefochtenen Entscheid wurde das Ergebnis der Berechnung gemäss Verfü- gung vom 25. Februar 2025 bestätigt. Im Grundsatz ging die Beschwerdegegnerin von einem Valideneinkommen von Fr. 65’627.00 und einem gemäss der Lohnstrukturerhe- bung berechneten Invalideneinkommen von Fr. 62'580.00 aus, womit ein Invaliditätsgrad von 5% resultierte.</w:t>
      </w:r>
    </w:p>
    <w:p>
      <w:r>
        <w:rPr>
          <w:b/>
        </w:rPr>
        <w:t>E. 4.2</w:t>
      </w:r>
    </w:p>
    <w:p>
      <w:r>
        <w:t>In Bezug auf das Valideneinkommen ist anzumerken, dass die Invalidenversiche- rung mit Verfügung vom 18. August 2025 von einem noch tieferen Valideneinkommen, nämlich Fr. 64'207.15, ausging, welches der Versicherte nicht beanstandete (act. 269; vgl. auch act. 156). Unstrittig ist weiter, dass der Versicherte über einen Einsatzvertrag bei einer Stellenvermittlungsfirma verfügte, gemäss dem ein Stundenbasislohn von Fr. 26.30 vereinbart worden war (act. 3). Dieser Lohn wurde auch bei der Schadensmel- dung im August 2022 berücksichtigt (act. 2) und mit Schreiben vom 21. Februar 2025 bestätigt (act. 227), was ein der Teuerung und den Zulagen angepasstes Validenein- kommen von Fr. 65'627.00 ergibt. Im Übrigen betrug – wie der Beschwerdeführer selbst darlegt – das Brutto-Jahreseinkommen gemäss den Lohnabrechnungen von Juli 2021 bis Juli 2022 Fr. 67'307.00. Selbst unter Berücksichtigung dieses Einkommens würde kein rentenbegründender Anspruch entstehen, da sich der Invaliditätsgrad auf 7% be- laufen würde. Wie sodann die Beschwerdegegnerin richtig darlegt, ist zwischen dem Valideneinkommen (Art. 16 ATSG) und dem versicherten Jahresverdienst (Art. 15 UVG) zu unterscheiden. Letzterer kann nur bei der Berechnung der Integritätsentschädigung herangezogen werden und ist hinsichtlich des Rentenanspruchs nicht massgebend.</w:t>
      </w:r>
    </w:p>
    <w:p>
      <w:r>
        <w:rPr>
          <w:b/>
        </w:rPr>
        <w:t>E. 4.3.1</w:t>
      </w:r>
    </w:p>
    <w:p>
      <w:r>
        <w:t>Für die Festsetzung des trotz Gesundheitsschädigung zumutbarerweise noch re- alisierbaren Einkommens (Invalideneinkommen) ist nach der Rechtsprechung primär von der beruflich-erwerblichen Situation auszugehen, in welcher die versicherte Person</w:t>
      </w:r>
    </w:p>
    <w:p>
      <w:r>
        <w:t>- 10 -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Liegt kein anrechenbares Erwerbseinkommen vor, so wird das Einkommen mit Invalidität nach statistischen Werten nach Artikel 25 Absatz 3 IVV be- stimmt. Dabei sind rechtsprechungsgemäss grundsätzlich die im Verfügungszeitpunkt bezogen auf den Zeitpunkt des Rentenbeginns aktuellsten veröffentlichten Tabellen der LSE zu verwenden (BGE 143 V 295 E. 4.1.3). Die Beschwerdegegnerin ging gestützt auf die LSE 2022 (Tabelle TA1, Monatlicher Brut- tolohn [Zentralwert] nach Wirtschaftszweigen, Kompetenzniveau und Geschlecht, Priva- ter Sektor, Total Männer, Kompetenzniveau 1) und unter Berücksichtigung der Nominal- lohnentwicklung, der betriebsüblichen Arbeitszeit nach Wirtschaftsabteilungen sowie des zumutbaren Arbeitspensums von 100% von einem hypothetischen Invalidenlohn von Fr. 69'533.76 aus (act. 232). Diese Berechnung ist nicht zu beanstanden und wird vom Beschwerdeführer im Grundsatz auch nicht in Frage gestellt. Wie die Beschwerde- gegnerin zu Recht ausführt, sind negative Invaliditätsgrade eine Folge der Rechtspre- chung zur Bemessung des Valideneinkommens und können sich unabhängig von der Methode, nach der das Invalideneinkommen bemessen wird, ergeben.</w:t>
      </w:r>
    </w:p>
    <w:p>
      <w:r>
        <w:rPr>
          <w:b/>
        </w:rPr>
        <w:t>E. 4.3.2</w:t>
      </w:r>
    </w:p>
    <w:p>
      <w:r>
        <w:t>Der Beschwerdeführer macht geltend, es sei ein höherer Tabellenabzug zu be- rücksichtigen. Die Beschwerdegegnerin hat den Abzug auf 10% beschränkt (siehe Be- rechnung gemäss Verfügung vom 25. Februar 2025, act. 232) und sich im Entscheid vom 22. August 2025 auf das kreisärztliche Zumutbarkeitsprofil bezogen. Wird das Invalideneinkommen auf der Grundlage von statistischen Lohndaten wie na- mentlich der LSE ermittelt, ist der so erhobene Ausgangswert allenfalls zu kürzen. Damit soll der Tatsache Rechnung getragen werden, dass persönliche und berufliche Merk- 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erwerblichen Erfolg verwerten kann. Der Abzug soll aber nicht automatisch erfolgen. Er ist unter Würdigung der Umstände im Einzelfall nach pflichtgemässem Ermessen gesamthaft zu schätzen und darf 25% nicht übersteigen. Die Rechtsprechung gewährt insbesondere dann einen Abzug vom</w:t>
      </w:r>
    </w:p>
    <w:p>
      <w:r>
        <w:t>- 11 - Invalideneinkommen, wenn eine versicherte Person selbst im Rahmen körperlich leich- ter Hilfsarbeitertätigkeit in ihrer Leistungsfähigkeit eingeschränkt ist. Allfällige bereits in der Beurteilung der medizinischen Arbeitsfähigkeit enthaltene gesundheitliche Ein- schränkungen dürfen nicht zusätzlich in die Bemessung des leidensbedingten Abzugs einfliessen und so zu einer doppelten Anrechnung desselben Gesichtspunkts führen (BGE 148 V 174 E. 6.3 mit Hinweis auf 146 V 16 E. 4.1 f. mit Hinweisen). Nach ständiger Rechtsprechung darf auch das (kantonale) Sozialversicherungsgericht sein Ermessen, wenn es um die Beurteilung des Tabellenlohnabzuges geht, nicht ohne triftigen Grund an die Stelle desjenigen der Verwaltung setzen; es muss sich auf Gegebenheiten ab- stützen können, welche seine abweichende Ermessensausübung als naheliegender er- scheinen lassen (BGE 137 V 71 E. 5.2). Wurde bei der Festsetzung der Höhe des Ab- zugs vom Tabellenlohn ein Merkmal oder ein bestimmter Aspekt eines Merkmals zu Un- recht nicht berücksichtigt (oder berücksichtigt), hat die Beschwerdeinstanz den Abzug gesamthaft neu zu schätzen (Bundesgerichtsurteil 9C_14/2022 vom 21. Juli 2022 E. 5.3.1). Der Beschwerdeführer ist auf eine körperlich leichte Tätigkeit angewiesen, womit ihm ein genügend breites Spektrum an Verweistätigkeiten offensteht. Gemäss kreisärztlicher Beurteilung sind ihm keine Tätigkeiten, die mit Tragen oder Heben von Gewichten dau- erhaft &gt;15 kg und mit Zwangshaltung (beispielsweise Kauern oder Bücken) für den Rü- cken verbunden sind, zumutbar, ebenso wenig Tätigkeiten, die mit einer erheblichen Sprungbelastung einhergehen. Ausserdem wurde ihm das Begehen von Gerüsten, Lei- tern oder Dächern oder steilem oder unebenem Gelände, welches einen erhöhten Gleichgewichtssinn erfordert, untersagt. In der Beurteilung der Arbeitsfähigkeit ging der Kreisarzt von einer vollen Leistungsfähigkeit aus, weshalb es sich rechtfertigt, die Ein- schränkungen bei der Bemessung des leidensbedingten Abzuges einfliessen zu lassen. Andere Abzugskriterien sind jedoch nicht erfüllt. Wie die Beschwerdegegnerin richtig ausgeführt hat, ist Art. 26bis Abs. 3 IVV nicht anwendbar. Das Alter des xxxx geborenen Beschwerdeführers ist für sich allein praxisgemäss nicht abzugsrelevant. Ebenso wenig fällt der Aspekt der fehlenden Dienstjahre ins Gewicht, da dessen Bedeutung im privaten Sektor abnimmt, je niedriger das Anforderungsprofil ist. Mit Blick auf das einschlägige Kompetenzniveau 1 ist demnach von untergeordneter Bedeutung, dass der Beschwer- deführer im Rahmen einer zumutbaren Verweistätigkeit keine Dienstjahre aufweisen kann. Regelmässigen, wiederkehrenden krankheitsbedingten Absenzen vom Arbeits- platz wäre bereits bei der Festlegung des zeitlich zumutbaren Umfangs der Arbeitsfähig- keit Rechnung zu tragen. Nicht vorhersehbare und schwer kalkulierbare Absenzen, wie sie durch Krankheitsschübe verursacht werden, können einen Tabellenlohnabzug</w:t>
      </w:r>
    </w:p>
    <w:p>
      <w:r>
        <w:t>- 12 - rechtfertigen. Dass der Beschwerdeführer an solchen leidet, wurde jedoch nicht geltend gemacht und ist auch nicht ersichtlich. Damit bleibt es bei dem von der Beschwerdegegnerin vorgenommenen Abzug von 10%, was zu einem hypothetischen Invalidenlohn von Fr. 62'580.00 führt. Gemäss Einkom- mensvergleich resultiert damit ein Invaliditätsgrad von gerundet 5% (Fr. 65'627.00 – Fr. 62'580.00 = Fr. 3'047.00 / Fr. 65'627.00 x 100%).</w:t>
      </w:r>
    </w:p>
    <w:p>
      <w:r>
        <w:rPr>
          <w:b/>
        </w:rPr>
        <w:t>E. 5</w:t>
      </w:r>
    </w:p>
    <w:p>
      <w:r>
        <w:t>Der Beschwerdeführer moniert weiter, dass seitens des Unfallversicherers keine Ein- gliederungs- bzw. Integrationsmassnahmen in die Wege geleitet worden seien. Wie die Beschwerdeführerin auch dazu richtig dargelegt hat, fallen allfällige berufliche Massnahmen nicht in ihren Zuständigkeitsbereich, sondern sind allenfalls von der Inva- lidenversicherung oder der Arbeitslosenversicherung einzuleiten. Der in dieser Hinsicht vom Beschwerdeführer erhobene Einwand kann daher nicht gehört werden.</w:t>
      </w:r>
    </w:p>
    <w:p>
      <w:r>
        <w:rPr>
          <w:b/>
        </w:rPr>
        <w:t>E. 6</w:t>
      </w:r>
    </w:p>
    <w:p>
      <w:r>
        <w:t>Nach dem Dargelegten ist die Beschwerde abzuweisen.</w:t>
      </w:r>
    </w:p>
    <w:p>
      <w:r>
        <w:rPr>
          <w:b/>
        </w:rPr>
        <w:t>E. 7</w:t>
      </w:r>
    </w:p>
    <w:p>
      <w:r>
        <w:t>Das Verfahren ist, von hier nicht massgebenden Ausnahmen abgesehen, kostenlos (Art. 61 lit. fbis ATSG). Da der Beschwerdeführer unterliegt, entfällt eine Parteientschädigung (Art. 61 lit. g ATSG e contrario). Den im Verfahren der Verwaltungsgerichtsbeschwerde obsiegenden Behörden oder mit öffentlich-rechtlichen Aufgaben betrauten Organisationen darf in der Regel keine Parteientschädigung zugesprochen werden (BGE 123 V 309 E. 10 mit Hin- weisen). Das Kantonsgericht erkennt:</w:t>
      </w:r>
    </w:p>
    <w:p>
      <w:r>
        <w:t>1. Die Beschwerde wird abgewiesen. 2. Es werden weder Kosten erhoben noch Parteientschädigungen ausgerichtet.</w:t>
      </w:r>
    </w:p>
    <w:p>
      <w:r>
        <w:t>Sitten, 16.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